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60F98" w:rsidRDefault="00000000">
      <w:pPr>
        <w:rPr>
          <w:rFonts w:ascii="Times New Roman" w:eastAsia="Times New Roman" w:hAnsi="Times New Roman" w:cs="Times New Roman"/>
          <w:b/>
          <w:bCs/>
          <w:sz w:val="17"/>
          <w:szCs w:val="17"/>
        </w:rPr>
      </w:pPr>
      <w:bookmarkStart w:id="0" w:name="_heading=h.woubhnw6qdlo" w:colFirst="0" w:colLast="0"/>
      <w:bookmarkEnd w:id="0"/>
      <w:r>
        <w:rPr>
          <w:rFonts w:ascii="Times New Roman" w:eastAsia="Times New Roman" w:hAnsi="Times New Roman" w:cs="Times New Roman"/>
          <w:b/>
          <w:bCs/>
          <w:sz w:val="17"/>
          <w:szCs w:val="17"/>
        </w:rPr>
        <w:t>Eleanor Briggs School</w:t>
      </w:r>
    </w:p>
    <w:p w14:paraId="00000002" w14:textId="77777777" w:rsidR="00B60F98" w:rsidRDefault="00000000">
      <w:pPr>
        <w:rPr>
          <w:rFonts w:ascii="Times New Roman" w:eastAsia="Times New Roman" w:hAnsi="Times New Roman" w:cs="Times New Roman"/>
          <w:b/>
          <w:bCs/>
          <w:sz w:val="17"/>
          <w:szCs w:val="17"/>
        </w:rPr>
      </w:pPr>
      <w:r>
        <w:rPr>
          <w:rFonts w:ascii="Times New Roman" w:eastAsia="Times New Roman" w:hAnsi="Times New Roman" w:cs="Times New Roman"/>
          <w:b/>
          <w:bCs/>
          <w:sz w:val="17"/>
          <w:szCs w:val="17"/>
        </w:rPr>
        <w:t>Standards &amp; Procedures (</w:t>
      </w:r>
      <w:proofErr w:type="gramStart"/>
      <w:r>
        <w:rPr>
          <w:rFonts w:ascii="Times New Roman" w:eastAsia="Times New Roman" w:hAnsi="Times New Roman" w:cs="Times New Roman"/>
          <w:b/>
          <w:bCs/>
          <w:sz w:val="17"/>
          <w:szCs w:val="17"/>
        </w:rPr>
        <w:t>at a glance</w:t>
      </w:r>
      <w:proofErr w:type="gramEnd"/>
      <w:r>
        <w:rPr>
          <w:rFonts w:ascii="Times New Roman" w:eastAsia="Times New Roman" w:hAnsi="Times New Roman" w:cs="Times New Roman"/>
          <w:b/>
          <w:bCs/>
          <w:sz w:val="17"/>
          <w:szCs w:val="17"/>
        </w:rPr>
        <w:t>)</w:t>
      </w:r>
    </w:p>
    <w:p w14:paraId="00000003"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1.0 History, Philosophy, Mission, Vision, Values, Objectives, Educational Policy, and Curricula</w:t>
      </w:r>
    </w:p>
    <w:p w14:paraId="00000004"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Outlines EBS’s history, therapeutic mission, trauma-informed philosophy, and integrated academic/clinical approach. Defines core values, goals, and the instructional model aligned to IEPs.</w:t>
      </w:r>
    </w:p>
    <w:p w14:paraId="00000005"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2.0 Admission Criteria and Procedures</w:t>
      </w:r>
    </w:p>
    <w:p w14:paraId="00000006"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Describes eligibility requirements, referral process, and required documentation from LEAs. Covers acceptance decisions, waiting list protocol, and family orientation.</w:t>
      </w:r>
    </w:p>
    <w:p w14:paraId="00000007"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2.1 Language Access Policy (LEP)</w:t>
      </w:r>
    </w:p>
    <w:p w14:paraId="00000008"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Ensures families with limited English proficiency have equal access to all programs and communications through interpretation, translation, and staff training.</w:t>
      </w:r>
    </w:p>
    <w:p w14:paraId="00000009"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3.0 Assessment</w:t>
      </w:r>
    </w:p>
    <w:p w14:paraId="0000000A"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Details intake and ongoing assessments—academic, clinical, and behavioral—used to guide individualized plans. Emphasizes trauma-informed, culturally responsive evaluation.</w:t>
      </w:r>
    </w:p>
    <w:p w14:paraId="0000000B"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4.0 Domains of Behavioral Supports</w:t>
      </w:r>
    </w:p>
    <w:p w14:paraId="0000000C"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Explains EBS’s multi-tiered behavioral support framework, including clinical services, DBT, PBIS, environmental modifications, accountability systems, and reinforcement structures.</w:t>
      </w:r>
    </w:p>
    <w:p w14:paraId="0000000D"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4.1 “Take Space” Policy</w:t>
      </w:r>
    </w:p>
    <w:p w14:paraId="0000000E"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Defines voluntary, supervised calming areas for emotional regulation. Sets procedures, supervision standards, and documentation requirements.</w:t>
      </w:r>
    </w:p>
    <w:p w14:paraId="0000000F"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5.0 Disciplinary Procedures</w:t>
      </w:r>
    </w:p>
    <w:p w14:paraId="00000010"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Trauma-informed, legally compliant discipline strategies emphasizing prevention, skill-building, and minimal exclusion.</w:t>
      </w:r>
    </w:p>
    <w:p w14:paraId="00000011"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5.1 Prohibition of Humiliation, Verbal Abuse, and Corporal Punishment</w:t>
      </w:r>
    </w:p>
    <w:p w14:paraId="00000012"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Zero-tolerance policy banning harmful, degrading, or physical punishment in alignment with state and federal law.</w:t>
      </w:r>
    </w:p>
    <w:p w14:paraId="00000013"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6.0 Discharge and Termination Procedures</w:t>
      </w:r>
    </w:p>
    <w:p w14:paraId="00000014"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Processes for planned transitions, voluntary withdrawals, and early terminations, ensuring IEP compliance and student-centered planning.</w:t>
      </w:r>
    </w:p>
    <w:p w14:paraId="00000015"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6.1 Compulsory Attendance</w:t>
      </w:r>
    </w:p>
    <w:p w14:paraId="00000016"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Outlines attendance expectations, excused/unexcused definitions, and tiered intervention for absenteeism and truancy.</w:t>
      </w:r>
    </w:p>
    <w:p w14:paraId="00000017" w14:textId="77777777" w:rsidR="00B60F98" w:rsidRDefault="00000000">
      <w:pPr>
        <w:shd w:val="clear" w:color="auto" w:fill="FFFFFF"/>
        <w:spacing w:after="0" w:line="240" w:lineRule="auto"/>
        <w:rPr>
          <w:rFonts w:ascii="Times New Roman" w:eastAsia="Times New Roman" w:hAnsi="Times New Roman" w:cs="Times New Roman"/>
          <w:sz w:val="17"/>
          <w:szCs w:val="17"/>
        </w:rPr>
      </w:pPr>
      <w:r>
        <w:rPr>
          <w:rFonts w:ascii="Times New Roman" w:eastAsia="Times New Roman" w:hAnsi="Times New Roman" w:cs="Times New Roman"/>
          <w:b/>
          <w:bCs/>
          <w:sz w:val="17"/>
          <w:szCs w:val="17"/>
        </w:rPr>
        <w:t>*New 6.2 Student Arrival and Dismissal</w:t>
      </w:r>
    </w:p>
    <w:p w14:paraId="00000018" w14:textId="77777777" w:rsidR="00B60F98" w:rsidRDefault="00000000">
      <w:pPr>
        <w:shd w:val="clear" w:color="auto" w:fill="FFFFFF"/>
        <w:spacing w:line="240" w:lineRule="auto"/>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Establishes required student arrival and dismissal procedures to ensure safe supervision, maintain school operations, and support the therapeutic and instructional program. </w:t>
      </w:r>
    </w:p>
    <w:p w14:paraId="00000019" w14:textId="77777777" w:rsidR="00B60F98" w:rsidRDefault="00000000">
      <w:pPr>
        <w:shd w:val="clear" w:color="auto" w:fill="FFFFFF"/>
        <w:spacing w:after="0" w:line="240" w:lineRule="auto"/>
        <w:rPr>
          <w:rFonts w:ascii="Times New Roman" w:eastAsia="Times New Roman" w:hAnsi="Times New Roman" w:cs="Times New Roman"/>
          <w:b/>
          <w:bCs/>
          <w:sz w:val="17"/>
          <w:szCs w:val="17"/>
        </w:rPr>
      </w:pPr>
      <w:r>
        <w:rPr>
          <w:rFonts w:ascii="Times New Roman" w:eastAsia="Times New Roman" w:hAnsi="Times New Roman" w:cs="Times New Roman"/>
          <w:b/>
          <w:bCs/>
          <w:sz w:val="17"/>
          <w:szCs w:val="17"/>
        </w:rPr>
        <w:t xml:space="preserve">*New 6.3 Guardian Responsibility for Student Retrieval </w:t>
      </w:r>
    </w:p>
    <w:p w14:paraId="0000001A" w14:textId="77777777" w:rsidR="00B60F98" w:rsidRDefault="00000000">
      <w:pPr>
        <w:shd w:val="clear" w:color="auto" w:fill="FFFFFF"/>
        <w:spacing w:line="240" w:lineRule="auto"/>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Establishes guardian responsibilities for promptly retrieving students when the </w:t>
      </w:r>
      <w:proofErr w:type="gramStart"/>
      <w:r>
        <w:rPr>
          <w:rFonts w:ascii="Times New Roman" w:eastAsia="Times New Roman" w:hAnsi="Times New Roman" w:cs="Times New Roman"/>
          <w:sz w:val="17"/>
          <w:szCs w:val="17"/>
        </w:rPr>
        <w:t>School</w:t>
      </w:r>
      <w:proofErr w:type="gramEnd"/>
      <w:r>
        <w:rPr>
          <w:rFonts w:ascii="Times New Roman" w:eastAsia="Times New Roman" w:hAnsi="Times New Roman" w:cs="Times New Roman"/>
          <w:sz w:val="17"/>
          <w:szCs w:val="17"/>
        </w:rPr>
        <w:t xml:space="preserve"> determines that early dismissal is necessary to protect the student's health, safety, or therapeutic needs. </w:t>
      </w:r>
    </w:p>
    <w:p w14:paraId="0000001B"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7.0 Procedural Safeguards</w:t>
      </w:r>
    </w:p>
    <w:p w14:paraId="0000001C"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Adopts state and federal protections for students with disabilities, including due process, consent, and record access rights.</w:t>
      </w:r>
    </w:p>
    <w:p w14:paraId="0000001D"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7.1 Title IX Compliance Policy</w:t>
      </w:r>
    </w:p>
    <w:p w14:paraId="0000001E"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Defines procedures for preventing and addressing sex-based discrimination, harassment, and violence in compliance with Title IX.</w:t>
      </w:r>
    </w:p>
    <w:p w14:paraId="0000001F" w14:textId="77777777" w:rsidR="00B60F98" w:rsidRDefault="00000000">
      <w:pPr>
        <w:shd w:val="clear" w:color="auto" w:fill="FFFFFF"/>
        <w:spacing w:after="0" w:line="240" w:lineRule="auto"/>
        <w:rPr>
          <w:rFonts w:ascii="Times New Roman" w:eastAsia="Times New Roman" w:hAnsi="Times New Roman" w:cs="Times New Roman"/>
          <w:sz w:val="17"/>
          <w:szCs w:val="17"/>
        </w:rPr>
      </w:pPr>
      <w:r>
        <w:rPr>
          <w:rFonts w:ascii="Times New Roman" w:eastAsia="Times New Roman" w:hAnsi="Times New Roman" w:cs="Times New Roman"/>
          <w:b/>
          <w:bCs/>
          <w:sz w:val="17"/>
          <w:szCs w:val="17"/>
        </w:rPr>
        <w:t>*New 7.2 Student Privacy in Restroom, Locker Rooms, and Changing Areas</w:t>
      </w:r>
    </w:p>
    <w:p w14:paraId="00000020" w14:textId="77777777" w:rsidR="00B60F98" w:rsidRDefault="00000000">
      <w:pPr>
        <w:shd w:val="clear" w:color="auto" w:fill="FFFFFF"/>
        <w:spacing w:line="240" w:lineRule="auto"/>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Ensures all students have access to safe, respectful, and confidential restroom and changing facilities through reasonable privacy accommodations and individualized planning consistent with applicable law. </w:t>
      </w:r>
    </w:p>
    <w:p w14:paraId="00000021"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8.0 Prevention, Crisis Resolution, and Safety-Care Policy</w:t>
      </w:r>
    </w:p>
    <w:p w14:paraId="00000022"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Sets out proactive, trauma-informed crisis prevention and intervention methods, emphasizing the Safety-Care model and least-restrictive physical interventions.</w:t>
      </w:r>
    </w:p>
    <w:p w14:paraId="00000023"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9.0 Confidentiality Policy and Procedures</w:t>
      </w:r>
    </w:p>
    <w:p w14:paraId="00000024"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Explains FERPA-compliant record handling, access rights, data protection, and consent requirements.</w:t>
      </w:r>
    </w:p>
    <w:p w14:paraId="00000025"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10.0 Policy on Bullying, Teen Dating Violence, and Sexual Violence</w:t>
      </w:r>
    </w:p>
    <w:p w14:paraId="00000026"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Prohibits harmful interpersonal behaviors, details reporting/investigation processes, and provides support services.</w:t>
      </w:r>
    </w:p>
    <w:p w14:paraId="00000027"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lastRenderedPageBreak/>
        <w:t xml:space="preserve">10.1 Prohibition </w:t>
      </w:r>
      <w:proofErr w:type="gramStart"/>
      <w:r>
        <w:rPr>
          <w:rFonts w:ascii="Times New Roman" w:eastAsia="Times New Roman" w:hAnsi="Times New Roman" w:cs="Times New Roman"/>
          <w:b/>
          <w:bCs/>
          <w:color w:val="000000"/>
          <w:sz w:val="17"/>
          <w:szCs w:val="17"/>
        </w:rPr>
        <w:t>on</w:t>
      </w:r>
      <w:proofErr w:type="gramEnd"/>
      <w:r>
        <w:rPr>
          <w:rFonts w:ascii="Times New Roman" w:eastAsia="Times New Roman" w:hAnsi="Times New Roman" w:cs="Times New Roman"/>
          <w:b/>
          <w:bCs/>
          <w:color w:val="000000"/>
          <w:sz w:val="17"/>
          <w:szCs w:val="17"/>
        </w:rPr>
        <w:t xml:space="preserve"> Student Cellular Phone Use</w:t>
      </w:r>
    </w:p>
    <w:p w14:paraId="00000028"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Restricts phone use during school to preserve safety and focus, with exceptions for approved therapeutic or family needs.</w:t>
      </w:r>
    </w:p>
    <w:p w14:paraId="00000029"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11.0 TBH: Incident Reporting</w:t>
      </w:r>
    </w:p>
    <w:p w14:paraId="0000002A"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Describes the process for reporting and documenting incidents under Thrive Behavioral Health policy, including types of incidents and follow-up procedures.</w:t>
      </w:r>
    </w:p>
    <w:p w14:paraId="0000002B"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11.1 Incident Report Storage and Retention Policy</w:t>
      </w:r>
    </w:p>
    <w:p w14:paraId="0000002C"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Provides secure storage and retention requirements for incident reports to ensure compliance and confidentiality.</w:t>
      </w:r>
    </w:p>
    <w:p w14:paraId="0000002D"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12.0 Emergency Preparedness Plan</w:t>
      </w:r>
    </w:p>
    <w:p w14:paraId="0000002E"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Comprehensive framework for responding to crises, from medical emergencies to natural disasters.</w:t>
      </w:r>
    </w:p>
    <w:p w14:paraId="0000002F" w14:textId="77777777" w:rsidR="00B60F98" w:rsidRDefault="00000000">
      <w:pPr>
        <w:numPr>
          <w:ilvl w:val="0"/>
          <w:numId w:val="1"/>
        </w:numPr>
        <w:shd w:val="clear" w:color="auto" w:fill="FFFFFF"/>
        <w:spacing w:before="280"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12.1 Crisis Response</w:t>
      </w:r>
      <w:r>
        <w:rPr>
          <w:rFonts w:ascii="Times New Roman" w:eastAsia="Times New Roman" w:hAnsi="Times New Roman" w:cs="Times New Roman"/>
          <w:color w:val="000000"/>
          <w:sz w:val="17"/>
          <w:szCs w:val="17"/>
        </w:rPr>
        <w:t> – Steps for immediate stabilization and resolution of crises.</w:t>
      </w:r>
    </w:p>
    <w:p w14:paraId="00000030" w14:textId="77777777" w:rsidR="00B60F98" w:rsidRDefault="00000000">
      <w:pPr>
        <w:numPr>
          <w:ilvl w:val="1"/>
          <w:numId w:val="1"/>
        </w:num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(a) Staff Crisis Response Protocol</w:t>
      </w:r>
      <w:r>
        <w:rPr>
          <w:rFonts w:ascii="Times New Roman" w:eastAsia="Times New Roman" w:hAnsi="Times New Roman" w:cs="Times New Roman"/>
          <w:color w:val="000000"/>
          <w:sz w:val="17"/>
          <w:szCs w:val="17"/>
        </w:rPr>
        <w:t> – Roles and actions for staff during crises.</w:t>
      </w:r>
    </w:p>
    <w:p w14:paraId="00000031" w14:textId="77777777" w:rsidR="00B60F98" w:rsidRDefault="00000000">
      <w:pPr>
        <w:numPr>
          <w:ilvl w:val="1"/>
          <w:numId w:val="1"/>
        </w:num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(b) Emergency Transport Protocol</w:t>
      </w:r>
      <w:r>
        <w:rPr>
          <w:rFonts w:ascii="Times New Roman" w:eastAsia="Times New Roman" w:hAnsi="Times New Roman" w:cs="Times New Roman"/>
          <w:color w:val="000000"/>
          <w:sz w:val="17"/>
          <w:szCs w:val="17"/>
        </w:rPr>
        <w:t> – Procedures for student transport to medical/psychiatric care.</w:t>
      </w:r>
    </w:p>
    <w:p w14:paraId="00000032" w14:textId="77777777" w:rsidR="00B60F98" w:rsidRDefault="00000000">
      <w:pPr>
        <w:numPr>
          <w:ilvl w:val="2"/>
          <w:numId w:val="1"/>
        </w:num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(b1) Student-Initiated ED Transport</w:t>
      </w:r>
      <w:r>
        <w:rPr>
          <w:rFonts w:ascii="Times New Roman" w:eastAsia="Times New Roman" w:hAnsi="Times New Roman" w:cs="Times New Roman"/>
          <w:color w:val="000000"/>
          <w:sz w:val="17"/>
          <w:szCs w:val="17"/>
        </w:rPr>
        <w:t> – Guidelines when students request ER evaluation.</w:t>
      </w:r>
    </w:p>
    <w:p w14:paraId="00000033" w14:textId="77777777" w:rsidR="00B60F98" w:rsidRDefault="00000000">
      <w:pPr>
        <w:numPr>
          <w:ilvl w:val="2"/>
          <w:numId w:val="1"/>
        </w:num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(b2) Therapeutic Dismissal Policy</w:t>
      </w:r>
      <w:r>
        <w:rPr>
          <w:rFonts w:ascii="Times New Roman" w:eastAsia="Times New Roman" w:hAnsi="Times New Roman" w:cs="Times New Roman"/>
          <w:color w:val="000000"/>
          <w:sz w:val="17"/>
          <w:szCs w:val="17"/>
        </w:rPr>
        <w:t> – Criteria and procedures for early dismissal due to acute distress.</w:t>
      </w:r>
    </w:p>
    <w:p w14:paraId="00000034" w14:textId="77777777" w:rsidR="00B60F98" w:rsidRDefault="00000000">
      <w:pPr>
        <w:numPr>
          <w:ilvl w:val="2"/>
          <w:numId w:val="1"/>
        </w:num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(b2a) Substance Use Departure Policy (18+)</w:t>
      </w:r>
      <w:r>
        <w:rPr>
          <w:rFonts w:ascii="Times New Roman" w:eastAsia="Times New Roman" w:hAnsi="Times New Roman" w:cs="Times New Roman"/>
          <w:color w:val="000000"/>
          <w:sz w:val="17"/>
          <w:szCs w:val="17"/>
        </w:rPr>
        <w:t> – Rules for students over 18 suspected of substance use.</w:t>
      </w:r>
    </w:p>
    <w:p w14:paraId="00000035" w14:textId="77777777" w:rsidR="00B60F98" w:rsidRDefault="00000000">
      <w:pPr>
        <w:numPr>
          <w:ilvl w:val="1"/>
          <w:numId w:val="1"/>
        </w:num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(c) Therapeutic Physical Intervention Protocol</w:t>
      </w:r>
      <w:r>
        <w:rPr>
          <w:rFonts w:ascii="Times New Roman" w:eastAsia="Times New Roman" w:hAnsi="Times New Roman" w:cs="Times New Roman"/>
          <w:color w:val="000000"/>
          <w:sz w:val="17"/>
          <w:szCs w:val="17"/>
        </w:rPr>
        <w:t> – Safety-Care procedures for restraint.</w:t>
      </w:r>
    </w:p>
    <w:p w14:paraId="00000036" w14:textId="77777777" w:rsidR="00B60F98" w:rsidRDefault="00000000">
      <w:pPr>
        <w:numPr>
          <w:ilvl w:val="1"/>
          <w:numId w:val="1"/>
        </w:num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(d) Student-on-Staff Willful Assault &amp; Battery</w:t>
      </w:r>
      <w:r>
        <w:rPr>
          <w:rFonts w:ascii="Times New Roman" w:eastAsia="Times New Roman" w:hAnsi="Times New Roman" w:cs="Times New Roman"/>
          <w:color w:val="000000"/>
          <w:sz w:val="17"/>
          <w:szCs w:val="17"/>
        </w:rPr>
        <w:t> – Response and documentation.</w:t>
      </w:r>
    </w:p>
    <w:p w14:paraId="00000037" w14:textId="77777777" w:rsidR="00B60F98" w:rsidRDefault="00000000">
      <w:pPr>
        <w:numPr>
          <w:ilvl w:val="0"/>
          <w:numId w:val="1"/>
        </w:numPr>
        <w:shd w:val="clear" w:color="auto" w:fill="FFFFFF"/>
        <w:spacing w:after="28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12.2–12.11(b)</w:t>
      </w:r>
      <w:r>
        <w:rPr>
          <w:rFonts w:ascii="Times New Roman" w:eastAsia="Times New Roman" w:hAnsi="Times New Roman" w:cs="Times New Roman"/>
          <w:color w:val="000000"/>
          <w:sz w:val="17"/>
          <w:szCs w:val="17"/>
        </w:rPr>
        <w:t> – Covers AWOL, weapons, contraband, lockdowns, intruder/hostage response, weather/natural disasters, shelter-in-place, radiological/national emergencies, child abuse reporting, and distance learning.</w:t>
      </w:r>
    </w:p>
    <w:p w14:paraId="00000038"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13.0 Staff Information</w:t>
      </w:r>
    </w:p>
    <w:p w14:paraId="00000039"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Outlines work hours, leave policies, purchasing rules, and technology use expectations.</w:t>
      </w:r>
    </w:p>
    <w:p w14:paraId="0000003A"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14.0 Media Relations</w:t>
      </w:r>
    </w:p>
    <w:p w14:paraId="0000003B"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Procedures for interacting with press and public communications.</w:t>
      </w:r>
    </w:p>
    <w:p w14:paraId="0000003C"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15.0 Brand Identification</w:t>
      </w:r>
    </w:p>
    <w:p w14:paraId="0000003D"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Rules for use of EBS logos, colors, and branding materials.</w:t>
      </w:r>
    </w:p>
    <w:p w14:paraId="0000003E"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16.0 Social Media Use</w:t>
      </w:r>
    </w:p>
    <w:p w14:paraId="0000003F"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Guidelines for professional and appropriate use of social media by staff.</w:t>
      </w:r>
    </w:p>
    <w:p w14:paraId="00000040"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17.0 Transportation of Students</w:t>
      </w:r>
    </w:p>
    <w:p w14:paraId="00000041"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Standards for school and parent-provided transportation, including safety and communication expectations.</w:t>
      </w:r>
    </w:p>
    <w:p w14:paraId="00000042"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18.0 Visitor and Volunteer Policy</w:t>
      </w:r>
    </w:p>
    <w:p w14:paraId="00000043"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Requirements for visitor screening, supervision, and role limitations.</w:t>
      </w:r>
    </w:p>
    <w:p w14:paraId="00000044"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19.0 Student Complaint and Grievance Procedure</w:t>
      </w:r>
    </w:p>
    <w:p w14:paraId="00000045"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Process for students to raise concerns, ensuring fairness and documentation.</w:t>
      </w:r>
    </w:p>
    <w:p w14:paraId="00000046"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20.0 Graduation and Transition Planning Policy</w:t>
      </w:r>
    </w:p>
    <w:p w14:paraId="00000047"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Guidelines for preparing students for graduation or transition to adult services.</w:t>
      </w:r>
    </w:p>
    <w:p w14:paraId="00000048"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21.0 Non-Educational Service Coordination Policy</w:t>
      </w:r>
    </w:p>
    <w:p w14:paraId="00000049"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Outlines coordination of health, vocational, or community services beyond academic programming.</w:t>
      </w:r>
    </w:p>
    <w:p w14:paraId="0000004A"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22.0 Health and Wellness Policy</w:t>
      </w:r>
    </w:p>
    <w:p w14:paraId="0000004B"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Standards for nutrition, physical activity, and medical oversight.</w:t>
      </w:r>
    </w:p>
    <w:p w14:paraId="0000004C" w14:textId="77777777" w:rsidR="00B60F98" w:rsidRDefault="00000000">
      <w:pPr>
        <w:numPr>
          <w:ilvl w:val="0"/>
          <w:numId w:val="2"/>
        </w:numPr>
        <w:shd w:val="clear" w:color="auto" w:fill="FFFFFF"/>
        <w:spacing w:before="280" w:after="28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22.1–22.4</w:t>
      </w:r>
      <w:r>
        <w:rPr>
          <w:rFonts w:ascii="Times New Roman" w:eastAsia="Times New Roman" w:hAnsi="Times New Roman" w:cs="Times New Roman"/>
          <w:color w:val="000000"/>
          <w:sz w:val="17"/>
          <w:szCs w:val="17"/>
        </w:rPr>
        <w:t> – Covers financial oversight of food services, injury/illness response, emergency medication administration, and medication protocols.</w:t>
      </w:r>
    </w:p>
    <w:p w14:paraId="0000004D" w14:textId="77777777" w:rsidR="00B60F98" w:rsidRDefault="00000000">
      <w:pPr>
        <w:shd w:val="clear" w:color="auto" w:fill="FFFFFF"/>
        <w:spacing w:after="0" w:line="240" w:lineRule="auto"/>
        <w:rPr>
          <w:rFonts w:ascii="Times New Roman" w:eastAsia="Times New Roman" w:hAnsi="Times New Roman" w:cs="Times New Roman"/>
          <w:b/>
          <w:bCs/>
          <w:sz w:val="17"/>
          <w:szCs w:val="17"/>
        </w:rPr>
      </w:pPr>
      <w:r>
        <w:rPr>
          <w:rFonts w:ascii="Times New Roman" w:eastAsia="Times New Roman" w:hAnsi="Times New Roman" w:cs="Times New Roman"/>
          <w:b/>
          <w:bCs/>
          <w:sz w:val="17"/>
          <w:szCs w:val="17"/>
        </w:rPr>
        <w:t>*New 23.0 Eleanor Briggs School Artificial Intelligence (AI) Policy</w:t>
      </w:r>
    </w:p>
    <w:p w14:paraId="0000004E" w14:textId="77777777" w:rsidR="00B60F98" w:rsidRDefault="00000000">
      <w:pPr>
        <w:shd w:val="clear" w:color="auto" w:fill="FFFFFF"/>
        <w:spacing w:line="240" w:lineRule="auto"/>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Establishes standards for the ethical, secure, and legally compliant use of Artificial Intelligence to support education, clinical services, and administration while protecting privacy, maintaining human oversight, and complying with applicable law. </w:t>
      </w:r>
    </w:p>
    <w:p w14:paraId="0000004F" w14:textId="77777777" w:rsidR="00B60F98" w:rsidRDefault="00000000">
      <w:pPr>
        <w:shd w:val="clear" w:color="auto" w:fill="FFFFFF"/>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b/>
          <w:bCs/>
          <w:color w:val="000000"/>
          <w:sz w:val="17"/>
          <w:szCs w:val="17"/>
        </w:rPr>
        <w:t>Appendices A–F</w:t>
      </w:r>
    </w:p>
    <w:p w14:paraId="00000050" w14:textId="77777777" w:rsidR="00B60F98" w:rsidRDefault="00000000">
      <w:pPr>
        <w:shd w:val="clear" w:color="auto" w:fill="FFFFFF"/>
        <w:spacing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Templates, forms, and waivers including incident reports, transition planning documents, field trip permissions, vehicle use waivers, medical forms, and acknowledgments.</w:t>
      </w:r>
    </w:p>
    <w:p w14:paraId="00000051" w14:textId="77777777" w:rsidR="00B60F98" w:rsidRDefault="00B60F98"/>
    <w:sectPr w:rsidR="00B60F9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8B6DC68-910A-4523-BF8D-5C1F808884C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34D6E11-A4DF-40DF-BBF3-3628C10850F3}"/>
    <w:embedBold r:id="rId3" w:fontKey="{6DD080B6-CB50-413F-A5CA-D542E5503966}"/>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4" w:fontKey="{9FDA1560-3D84-4795-B76E-007CA1885E49}"/>
  </w:font>
  <w:font w:name="Georgia">
    <w:panose1 w:val="02040502050405020303"/>
    <w:charset w:val="00"/>
    <w:family w:val="auto"/>
    <w:pitch w:val="default"/>
    <w:embedItalic r:id="rId5" w:fontKey="{387B6DC2-3575-44C9-9D11-A8055C4A0F2B}"/>
  </w:font>
  <w:font w:name="Calibri Light">
    <w:panose1 w:val="020F0302020204030204"/>
    <w:charset w:val="00"/>
    <w:family w:val="swiss"/>
    <w:pitch w:val="variable"/>
    <w:sig w:usb0="E4002EFF" w:usb1="C200247B" w:usb2="00000009" w:usb3="00000000" w:csb0="000001FF" w:csb1="00000000"/>
    <w:embedRegular r:id="rId6" w:fontKey="{8B54FF3D-3AC5-4ABF-9920-2E92E160422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654E9"/>
    <w:multiLevelType w:val="multilevel"/>
    <w:tmpl w:val="5E5697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8C22D5"/>
    <w:multiLevelType w:val="multilevel"/>
    <w:tmpl w:val="0EBA61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108573216">
    <w:abstractNumId w:val="0"/>
  </w:num>
  <w:num w:numId="2" w16cid:durableId="1312060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F98"/>
    <w:rsid w:val="00B33C16"/>
    <w:rsid w:val="00B60F98"/>
    <w:rsid w:val="00BE5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19A72D-1BE1-4A91-AAB2-A6BAE802E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markw5bsjli5w">
    <w:name w:val="markw5bsjli5w"/>
    <w:basedOn w:val="DefaultParagraphFont"/>
    <w:rsid w:val="00F305F1"/>
  </w:style>
  <w:style w:type="paragraph" w:styleId="BalloonText">
    <w:name w:val="Balloon Text"/>
    <w:basedOn w:val="Normal"/>
    <w:link w:val="BalloonTextChar"/>
    <w:uiPriority w:val="99"/>
    <w:semiHidden/>
    <w:unhideWhenUsed/>
    <w:rsid w:val="00F305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5F1"/>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RqDq3UqN+3/WAw+ypb3tNjzY+g==">CgMxLjAyDmgud291YmhudzZxZGxvOAByITFQS2ZLU1VCVjhndHljUFB3bGpWNWxpc2oyamFTZnAzRg==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1031</Words>
  <Characters>5879</Characters>
  <Application>Microsoft Office Word</Application>
  <DocSecurity>0</DocSecurity>
  <Lines>48</Lines>
  <Paragraphs>13</Paragraphs>
  <ScaleCrop>false</ScaleCrop>
  <Company>Ninja Example</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D'Amico</dc:creator>
  <cp:lastModifiedBy>Jonathan D'Amico</cp:lastModifiedBy>
  <cp:revision>2</cp:revision>
  <dcterms:created xsi:type="dcterms:W3CDTF">2026-09-09T14:23:00Z</dcterms:created>
  <dcterms:modified xsi:type="dcterms:W3CDTF">2026-09-09T14:23:00Z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0c89d0a8-9d02-4635-b241-59b3ad9f2ddf</vt:lpwstr>
  </property>
  <property fmtid="{D5CDD505-2E9C-101B-9397-08002B2CF9AE}" pid="3" name="MSIP_Label_0638a6d7-131b-467e-b7ce-9fd961899ff4_Enabled">
    <vt:lpwstr>true</vt:lpwstr>
  </property>
  <property fmtid="{D5CDD505-2E9C-101B-9397-08002B2CF9AE}" pid="4" name="MSIP_Label_0638a6d7-131b-467e-b7ce-9fd961899ff4_SetDate">
    <vt:lpwstr>2026-09-09T14:23:07Z</vt:lpwstr>
  </property>
  <property fmtid="{D5CDD505-2E9C-101B-9397-08002B2CF9AE}" pid="5" name="MSIP_Label_0638a6d7-131b-467e-b7ce-9fd961899ff4_Method">
    <vt:lpwstr>Standard</vt:lpwstr>
  </property>
  <property fmtid="{D5CDD505-2E9C-101B-9397-08002B2CF9AE}" pid="6" name="MSIP_Label_0638a6d7-131b-467e-b7ce-9fd961899ff4_Name">
    <vt:lpwstr>defa4170-0d19-0005-0004-bc88714345d2</vt:lpwstr>
  </property>
  <property fmtid="{D5CDD505-2E9C-101B-9397-08002B2CF9AE}" pid="7" name="MSIP_Label_0638a6d7-131b-467e-b7ce-9fd961899ff4_SiteId">
    <vt:lpwstr>10d9267c-0092-4fbb-88f8-9e04889bb567</vt:lpwstr>
  </property>
  <property fmtid="{D5CDD505-2E9C-101B-9397-08002B2CF9AE}" pid="8" name="MSIP_Label_0638a6d7-131b-467e-b7ce-9fd961899ff4_ActionId">
    <vt:lpwstr>f3431d70-b3dd-4b50-b3e0-7bdde011b272</vt:lpwstr>
  </property>
  <property fmtid="{D5CDD505-2E9C-101B-9397-08002B2CF9AE}" pid="9" name="MSIP_Label_0638a6d7-131b-467e-b7ce-9fd961899ff4_ContentBits">
    <vt:lpwstr>0</vt:lpwstr>
  </property>
  <property fmtid="{D5CDD505-2E9C-101B-9397-08002B2CF9AE}" pid="10" name="MSIP_Label_0638a6d7-131b-467e-b7ce-9fd961899ff4_Tag">
    <vt:lpwstr>10, 3, 0, 1</vt:lpwstr>
  </property>
</Properties>
</file>